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0E17BB" w:rsidRPr="000E17BB">
            <w:rPr>
              <w:rStyle w:val="PageNumber"/>
              <w:rFonts w:ascii="Tahoma" w:hAnsi="Tahoma" w:cs="Tahoma"/>
              <w:noProof/>
              <w:sz w:val="19"/>
              <w:szCs w:val="19"/>
            </w:rPr>
            <w:t>1</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0E17BB" w:rsidRPr="000E17BB">
            <w:rPr>
              <w:rStyle w:val="PageNumber"/>
              <w:rFonts w:ascii="Tahoma" w:hAnsi="Tahoma" w:cs="Tahoma"/>
              <w:noProof/>
              <w:sz w:val="19"/>
              <w:szCs w:val="19"/>
            </w:rPr>
            <w:t>1</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tsXFJBCyKoFXN4hqieUOCsOoQbU=" w:salt="DRvMlBtGdwXhvzuUFfdg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E27A2"/>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purl.org/dc/elements/1.1/"/>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DA728DF3-009A-46B3-BE46-48489BBCF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 (LCA)</cp:lastModifiedBy>
  <cp:revision>4</cp:revision>
  <dcterms:created xsi:type="dcterms:W3CDTF">2012-05-25T15:09:00Z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